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55343" w:rsidRPr="008D2739" w:rsidRDefault="009D5F45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81C32" w:rsidRPr="008D2739">
        <w:rPr>
          <w:rFonts w:ascii="Times New Roman" w:hAnsi="Times New Roman" w:cs="Times New Roman"/>
          <w:b/>
          <w:bCs/>
          <w:sz w:val="28"/>
          <w:szCs w:val="28"/>
        </w:rPr>
        <w:t>Полный и точный реестр – наша цель!</w:t>
      </w:r>
    </w:p>
    <w:p w:rsidR="009D5F45" w:rsidRPr="00E46207" w:rsidRDefault="000E11E4" w:rsidP="000E11E4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81C32" w:rsidRDefault="009D5F45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Ярославской области </w:t>
      </w:r>
      <w:r w:rsidR="00881C32">
        <w:rPr>
          <w:rFonts w:ascii="Times New Roman" w:eastAsia="Times New Roman" w:hAnsi="Times New Roman" w:cs="Calibri"/>
          <w:sz w:val="28"/>
          <w:szCs w:val="28"/>
          <w:lang w:eastAsia="ru-RU"/>
        </w:rPr>
        <w:t>продолжает реализацию государственной программы «Национальная система пространственных данных», затрагивающую инте</w:t>
      </w:r>
      <w:r w:rsidR="005E5E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ресы неограниченного круга лиц. В данном случае речь идет о работе </w:t>
      </w:r>
      <w:r w:rsidR="00881C3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</w:t>
      </w:r>
      <w:r w:rsidR="008D2739">
        <w:rPr>
          <w:rFonts w:ascii="Times New Roman" w:eastAsia="Times New Roman" w:hAnsi="Times New Roman" w:cs="Calibri"/>
          <w:sz w:val="28"/>
          <w:szCs w:val="28"/>
          <w:lang w:eastAsia="ru-RU"/>
        </w:rPr>
        <w:t>наполнению ЕГРН точными и достоверными сведениями об объектах недвижимого имущества.</w:t>
      </w:r>
    </w:p>
    <w:p w:rsidR="00881C32" w:rsidRDefault="00881C32" w:rsidP="00881C32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Управлением совместно с филиалом ФГБУ ФКП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Ярославской области на постоянной основе проводится работа по исправлению реестровых ошибок в сведениях ЕГРН, наличие которых ограничивает права не только физических и юридических лиц, но и публичных правообладателей. </w:t>
      </w:r>
    </w:p>
    <w:p w:rsidR="004C44DB" w:rsidRDefault="00881C32" w:rsidP="00881C32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инициативе Управления состоялось рабочее совещание на основании обращения департамента лесного хозяйства </w:t>
      </w:r>
      <w:r w:rsidR="005E5E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Ярославской области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по вопросам исправления реестровых ошибок, обус</w:t>
      </w:r>
      <w:r w:rsidR="005E5E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ловленных пересечением границ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земельных участков, одним из которых является земельный участок лесного фонда. </w:t>
      </w:r>
      <w:r w:rsidR="004C44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Выработан механизм взаимодействия при устранении подобных реестровых ошибок. </w:t>
      </w:r>
    </w:p>
    <w:p w:rsidR="004C44DB" w:rsidRPr="004C44DB" w:rsidRDefault="008D2739" w:rsidP="005E5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«Достоверный и актуальный реестр недвижимости является гарантией защиты прав собственников объектов недвижимого имущества, обеспечивает эффективное использование ресурсов государства и упрощает процедуры ведения бизнеса на территории Ярославской области», </w:t>
      </w:r>
      <w:r w:rsidR="004C44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-отмечает руководитель Управления </w:t>
      </w:r>
      <w:r w:rsidR="004C44DB" w:rsidRPr="004C44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Елена </w:t>
      </w:r>
      <w:proofErr w:type="spellStart"/>
      <w:r w:rsidR="004C44DB" w:rsidRPr="004C44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Галеева</w:t>
      </w:r>
      <w:proofErr w:type="spellEnd"/>
      <w:r w:rsidR="004C44DB" w:rsidRPr="004C44D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.</w:t>
      </w:r>
    </w:p>
    <w:p w:rsidR="004C44DB" w:rsidRDefault="004C44D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4C44DB" w:rsidRDefault="004C44D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F66732" w:rsidRDefault="00516D63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ab/>
      </w:r>
    </w:p>
    <w:p w:rsidR="005D295B" w:rsidRDefault="005D295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5D295B" w:rsidRDefault="005D295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E46207" w:rsidRPr="00116EC6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207" w:rsidRPr="00E46207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E4620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Pr="00E46207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617A12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69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44" w:rsidRPr="00923317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617A1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17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317" w:rsidRPr="00617A12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469" w:rsidRPr="00617A12" w:rsidRDefault="00CB4469" w:rsidP="00CB44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C07E9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25C26"/>
    <w:rsid w:val="000860F2"/>
    <w:rsid w:val="00096B78"/>
    <w:rsid w:val="000B0F13"/>
    <w:rsid w:val="000D1A9E"/>
    <w:rsid w:val="000E11E4"/>
    <w:rsid w:val="001A3F44"/>
    <w:rsid w:val="00231946"/>
    <w:rsid w:val="00234469"/>
    <w:rsid w:val="00355343"/>
    <w:rsid w:val="004B351B"/>
    <w:rsid w:val="004C44DB"/>
    <w:rsid w:val="004D56B7"/>
    <w:rsid w:val="004F753D"/>
    <w:rsid w:val="00504516"/>
    <w:rsid w:val="00516D63"/>
    <w:rsid w:val="005D295B"/>
    <w:rsid w:val="005E5E67"/>
    <w:rsid w:val="00617A12"/>
    <w:rsid w:val="00656378"/>
    <w:rsid w:val="006B684E"/>
    <w:rsid w:val="006C37A8"/>
    <w:rsid w:val="006D7459"/>
    <w:rsid w:val="00753A5E"/>
    <w:rsid w:val="00767ADC"/>
    <w:rsid w:val="007C07E9"/>
    <w:rsid w:val="007E028E"/>
    <w:rsid w:val="00881C32"/>
    <w:rsid w:val="008D2739"/>
    <w:rsid w:val="00904909"/>
    <w:rsid w:val="00923317"/>
    <w:rsid w:val="009D5F45"/>
    <w:rsid w:val="00B7476C"/>
    <w:rsid w:val="00B945C2"/>
    <w:rsid w:val="00BF7A2F"/>
    <w:rsid w:val="00C31A10"/>
    <w:rsid w:val="00C73928"/>
    <w:rsid w:val="00CB4469"/>
    <w:rsid w:val="00E46207"/>
    <w:rsid w:val="00E84004"/>
    <w:rsid w:val="00F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115F-79A4-44D8-B172-C645CD74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4</cp:revision>
  <cp:lastPrinted>2022-07-06T14:10:00Z</cp:lastPrinted>
  <dcterms:created xsi:type="dcterms:W3CDTF">2022-07-12T14:04:00Z</dcterms:created>
  <dcterms:modified xsi:type="dcterms:W3CDTF">2022-07-14T12:48:00Z</dcterms:modified>
</cp:coreProperties>
</file>