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22" w:rsidRPr="00882DD6" w:rsidRDefault="00882DD6" w:rsidP="00882D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Ярославская межрайонная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bookmarkStart w:id="0" w:name="_GoBack"/>
      <w:bookmarkEnd w:id="0"/>
      <w:r w:rsidR="00C31522" w:rsidRPr="00882D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риродоохранная прокуратура разъясняет судебную практику о взыскании с организации убытков за уклонение от заключения государственного контракта</w:t>
      </w:r>
    </w:p>
    <w:p w:rsidR="00C31522" w:rsidRPr="00882DD6" w:rsidRDefault="00C31522" w:rsidP="00882D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DD6">
        <w:rPr>
          <w:rFonts w:ascii="Times New Roman" w:eastAsia="Times New Roman" w:hAnsi="Times New Roman" w:cs="Times New Roman"/>
          <w:sz w:val="28"/>
          <w:szCs w:val="24"/>
          <w:lang w:eastAsia="ru-RU"/>
        </w:rPr>
        <w:t>Арбитражным судом Московского округа оставлены в силе решения нижестоящих судов о взыскании с организации убытков за уклонение от заключения государственного контракта.</w:t>
      </w:r>
    </w:p>
    <w:p w:rsidR="00C31522" w:rsidRPr="00882DD6" w:rsidRDefault="00C31522" w:rsidP="00882D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DD6">
        <w:rPr>
          <w:rFonts w:ascii="Times New Roman" w:eastAsia="Times New Roman" w:hAnsi="Times New Roman" w:cs="Times New Roman"/>
          <w:sz w:val="28"/>
          <w:szCs w:val="24"/>
          <w:lang w:eastAsia="ru-RU"/>
        </w:rPr>
        <w:t>Суд взыскал разницу в цене контракта с организации, уклонившейся от заключения контракта</w:t>
      </w:r>
    </w:p>
    <w:p w:rsidR="00C31522" w:rsidRPr="00882DD6" w:rsidRDefault="00C31522" w:rsidP="00882D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DD6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Так, организация была признана победителем в электронном аукционе ФКУ «Центральное окружное управление материально-технического снабжения Министерства внутренних дел Российской Федерации» на поставку средств индивидуальной защиты. Несмотря на это, фирма уклонилась от заключения контракта и не представила обеспечение его исполнения, а второй участник отказался от возможности его подписания. Это послужило причиной проведения заказчиком новой закупочной процедуры, по результатам которой товар приобретен по более высокой цене.</w:t>
      </w:r>
    </w:p>
    <w:p w:rsidR="00C31522" w:rsidRPr="00882DD6" w:rsidRDefault="00C31522" w:rsidP="00882D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DD6">
        <w:rPr>
          <w:rFonts w:ascii="Times New Roman" w:eastAsia="Times New Roman" w:hAnsi="Times New Roman" w:cs="Times New Roman"/>
          <w:sz w:val="28"/>
          <w:szCs w:val="24"/>
          <w:lang w:eastAsia="ru-RU"/>
        </w:rPr>
        <w:t>Суды пришли к выводу о наличии причинно-следственной связи между бездействием организации – «уклониста» и дополнительными затратами заказчика, в связи с чем взыскали разницу между предложенной победителем в первоначальной закупке цене и стоимостью контракта по итогам повторной закупки.</w:t>
      </w:r>
    </w:p>
    <w:p w:rsidR="00C31522" w:rsidRPr="00882DD6" w:rsidRDefault="00C31522" w:rsidP="00882D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DD6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Определением Верховного Суда Российской Федерации от 02.02.2024 № 305-ЭС23-25551 в передаче кассационной жалобы участника закупки для рассмотрения в Судебную коллегию по экономическим спорам Верховного Суда Российской Федерации отказано.</w:t>
      </w:r>
    </w:p>
    <w:p w:rsidR="002F67B6" w:rsidRDefault="002F67B6"/>
    <w:sectPr w:rsidR="002F67B6" w:rsidSect="002F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31522"/>
    <w:rsid w:val="000B4D64"/>
    <w:rsid w:val="002F67B6"/>
    <w:rsid w:val="002F7F32"/>
    <w:rsid w:val="00882DD6"/>
    <w:rsid w:val="00C3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31522"/>
  </w:style>
  <w:style w:type="character" w:customStyle="1" w:styleId="feeds-pagenavigationtooltip">
    <w:name w:val="feeds-page__navigation_tooltip"/>
    <w:basedOn w:val="a0"/>
    <w:rsid w:val="00C31522"/>
  </w:style>
  <w:style w:type="paragraph" w:styleId="a3">
    <w:name w:val="Normal (Web)"/>
    <w:basedOn w:val="a"/>
    <w:uiPriority w:val="99"/>
    <w:semiHidden/>
    <w:unhideWhenUsed/>
    <w:rsid w:val="00C31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1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2024-06-14T10:54:00Z</dcterms:created>
  <dcterms:modified xsi:type="dcterms:W3CDTF">2024-06-14T10:54:00Z</dcterms:modified>
</cp:coreProperties>
</file>