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2" w:rsidRPr="00E978F2" w:rsidRDefault="00E978F2" w:rsidP="00E978F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E978F2">
        <w:rPr>
          <w:b/>
          <w:bCs/>
          <w:color w:val="333333"/>
          <w:sz w:val="28"/>
          <w:szCs w:val="28"/>
        </w:rPr>
        <w:t xml:space="preserve"> природоохранная прокуратура разъясняет особенности внесения платы за негативное воздействие на окружающую среду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Плату за негативное воздействие на окружающую среду (далее – НВОС) вносят юридические лица и индивидуальные предприниматели, осуществляющие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В случае наличия у организации или индивидуального предпринимателя одновременно объектов НВОС IV категории и объектов, относящихся к иным категориям (I, II, III), плата должна исчисляться и вноситься по всем таким объектам, включая объекты IV категории.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Плата взимается за следующие виды негативного воздействия на окружающую среду: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выбросы загрязняющих веществ в атмосферный воздух стационарными источниками;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сбросы загрязняющих веществ в водные объекты;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Декларация о плате за негативное воздействие на окружающую среду за отчетный период представляется в территориальный орган Росприроднадзора по форме и в порядке, установленном приказом Минприроды России от 10 декабря 2020 года N 1043.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Декларация представляется в срок не позднее 10 марта года, следующего за отчетным. Декларацию за отчетный период 2024 года необходимо представить не позднее 10 марта 2025 года.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Плата за НВОС, исчисленная по итогам отчетного периода, вносится не позднее 1 марта года, следующего за отчетным периодом. Плата за НВОС за отчетный период 2024 года вносится не позднее 1 марта 2025 года.</w:t>
      </w:r>
    </w:p>
    <w:p w:rsidR="002F5DF9" w:rsidRDefault="000065DA"/>
    <w:sectPr w:rsidR="002F5DF9" w:rsidSect="00F9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8F2"/>
    <w:rsid w:val="000065DA"/>
    <w:rsid w:val="00301D9E"/>
    <w:rsid w:val="003C627D"/>
    <w:rsid w:val="00E978F2"/>
    <w:rsid w:val="00F9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8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2025-05-14T08:38:00Z</dcterms:created>
  <dcterms:modified xsi:type="dcterms:W3CDTF">2025-05-14T08:38:00Z</dcterms:modified>
</cp:coreProperties>
</file>