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fldChar w:fldCharType="begin"/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 xml:space="preserve"> 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HYPERLINK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 xml:space="preserve"> "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https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://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www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.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consultant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.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ru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/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document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/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cons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_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doc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_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>LAW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instrText xml:space="preserve">_93978/" </w:instrTex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fldChar w:fldCharType="separate"/>
      </w:r>
      <w:proofErr w:type="gramStart"/>
      <w:r w:rsidRPr="00886B8A">
        <w:rPr>
          <w:rFonts w:ascii="Tahoma" w:eastAsia="Times New Roman" w:hAnsi="Tahoma" w:cs="Tahoma"/>
          <w:b/>
          <w:bCs/>
          <w:color w:val="2E302A"/>
          <w:u w:val="single"/>
          <w:lang w:eastAsia="ru-RU"/>
        </w:rPr>
        <w:t xml:space="preserve">Федеральным законом от 23.11.2009 </w:t>
      </w:r>
      <w:r w:rsidRPr="00886B8A">
        <w:rPr>
          <w:rFonts w:ascii="Tahoma" w:eastAsia="Times New Roman" w:hAnsi="Tahoma" w:cs="Tahoma"/>
          <w:b/>
          <w:bCs/>
          <w:color w:val="2E302A"/>
          <w:u w:val="single"/>
          <w:lang w:eastAsia="ru-RU"/>
        </w:rPr>
        <w:t>N</w:t>
      </w:r>
      <w:r w:rsidRPr="00886B8A">
        <w:rPr>
          <w:rFonts w:ascii="Tahoma" w:eastAsia="Times New Roman" w:hAnsi="Tahoma" w:cs="Tahoma"/>
          <w:b/>
          <w:bCs/>
          <w:color w:val="2E302A"/>
          <w:u w:val="single"/>
          <w:lang w:eastAsia="ru-RU"/>
        </w:rPr>
        <w:t xml:space="preserve"> 261-ФЗ (ред. от 13.07.2015)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fldChar w:fldCharType="end"/>
      </w: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 xml:space="preserve"> установлено до 1 июля 2012 года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</w:t>
      </w:r>
      <w:proofErr w:type="gramEnd"/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 xml:space="preserve">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</w:t>
      </w:r>
      <w:proofErr w:type="gramStart"/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используемых</w:t>
      </w:r>
      <w:proofErr w:type="gramEnd"/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Постановлением Правительства РФ от 17.12.2014г. №1380 в целях стимулирования процесса оснащения многоквартирных (жилых) домов и жилых помещений приборами учета принято решение об установлении нормативов потребления коммунальных услуг (отопление, холодное и горячее водоснабжение, водоотведение, электроэнергия), в том числе на общедомовые нужды (кроме водоотведения), с учетом повышающих коэффициентов: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с 1 января 2015 г. по 30 июня 2015 г. - 1,1;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с 1 июля 2015 г. по 31 декабря 2015 г. - 1,2;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с 1 января 2016 г. по 30 июня 2016 г. - 1,4;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с 1 июля 2016 г. по 31 декабря 2016 г. - 1,5;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с 2017 года - 1,6.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Постановлением Правительства Ярославской области от 11.09.2012г. №849-п (в ред. от 27.12.2015г. № 1282-п) установлены как «базовые», так и «повышенные» нормативы по отоплению. Срок введения нормативов – 1 января 2017 года.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Нормативы по холодному и горячему водоснабжению, в том числе с учетом повышающих коэффициентов, будут установлены Правительством Ярославской области не позднее 1 января 2017 года.</w:t>
      </w:r>
    </w:p>
    <w:p w:rsidR="00886B8A" w:rsidRPr="00886B8A" w:rsidRDefault="00886B8A" w:rsidP="00886B8A">
      <w:pPr>
        <w:spacing w:after="180" w:line="240" w:lineRule="atLeast"/>
        <w:ind w:right="24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proofErr w:type="gramStart"/>
      <w:r w:rsidRPr="00886B8A">
        <w:rPr>
          <w:rFonts w:ascii="Tahoma" w:eastAsia="Times New Roman" w:hAnsi="Tahoma" w:cs="Tahoma"/>
          <w:b/>
          <w:bCs/>
          <w:color w:val="2E302A"/>
          <w:lang w:eastAsia="ru-RU"/>
        </w:rPr>
        <w:t>Это означает, что с 1 января 2017 года граждане, чьи дома не оснащены общедомовыми приборами учета по отоплению и водоотведению, и чьи квартиры не оснащены индивидуальными приборами учета потребления холодной (горячей) воды, при условии технической возможности их установки, будут оплачивать услуги отопления и водоснабжения по нормативам с учетом повышающего коэффициента 1,6или, другими словами по нормативам на 60% выше «базовых».</w:t>
      </w:r>
      <w:proofErr w:type="gramEnd"/>
    </w:p>
    <w:p w:rsidR="00FD15F4" w:rsidRDefault="00FD15F4"/>
    <w:sectPr w:rsidR="00FD15F4" w:rsidSect="00F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8A"/>
    <w:rsid w:val="00886B8A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2016-03-31T13:46:00Z</dcterms:created>
  <dcterms:modified xsi:type="dcterms:W3CDTF">2016-03-31T13:47:00Z</dcterms:modified>
</cp:coreProperties>
</file>